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巴彦淖尔市制造业数字化转型试点</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专项资金管理办法</w:t>
      </w:r>
      <w:r>
        <w:rPr>
          <w:rFonts w:hint="eastAsia" w:ascii="华文楷体" w:hAnsi="华文楷体" w:eastAsia="华文楷体" w:cs="华文楷体"/>
          <w:b w:val="0"/>
          <w:bCs w:val="0"/>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FF0000"/>
          <w:sz w:val="32"/>
          <w:szCs w:val="32"/>
        </w:rPr>
      </w:pPr>
      <w:r>
        <w:rPr>
          <w:rFonts w:hint="eastAsia" w:ascii="黑体" w:hAnsi="黑体" w:eastAsia="黑体" w:cs="黑体"/>
          <w:b w:val="0"/>
          <w:bCs w:val="0"/>
          <w:sz w:val="32"/>
          <w:szCs w:val="32"/>
        </w:rPr>
        <w:t>第一条</w:t>
      </w:r>
      <w:r>
        <w:rPr>
          <w:rFonts w:hint="default" w:ascii="仿宋_GB2312" w:hAnsi="仿宋_GB2312" w:eastAsia="仿宋_GB2312" w:cs="仿宋_GB2312"/>
          <w:b/>
          <w:bCs/>
          <w:sz w:val="32"/>
          <w:szCs w:val="32"/>
          <w:lang w:val="en"/>
        </w:rPr>
        <w:t xml:space="preserve"> </w:t>
      </w:r>
      <w:r>
        <w:rPr>
          <w:rFonts w:hint="default" w:ascii="仿宋_GB2312" w:hAnsi="仿宋_GB2312" w:eastAsia="仿宋_GB2312" w:cs="仿宋_GB2312"/>
          <w:b w:val="0"/>
          <w:bCs w:val="0"/>
          <w:sz w:val="32"/>
          <w:szCs w:val="32"/>
          <w:lang w:val="en"/>
        </w:rPr>
        <w:t>为进一步规范自治区制造业数字化转型试点专项资金（以下简称“专项资金”）使用管理，提升财政专项资金使用效能，根据《内</w:t>
      </w:r>
      <w:r>
        <w:rPr>
          <w:rFonts w:hint="default" w:ascii="Times New Roman" w:hAnsi="Times New Roman" w:eastAsia="仿宋_GB2312" w:cs="Times New Roman"/>
          <w:b w:val="0"/>
          <w:bCs w:val="0"/>
          <w:sz w:val="32"/>
          <w:szCs w:val="32"/>
          <w:lang w:val="en"/>
        </w:rPr>
        <w:t>蒙古自治区工业和信息化厅 财政厅关于印发</w:t>
      </w:r>
      <w:r>
        <w:rPr>
          <w:rFonts w:hint="default" w:ascii="Times New Roman" w:hAnsi="Times New Roman" w:eastAsia="仿宋_GB2312" w:cs="Times New Roman"/>
          <w:b w:val="0"/>
          <w:bCs w:val="0"/>
          <w:sz w:val="32"/>
          <w:szCs w:val="32"/>
          <w:lang w:val="en"/>
        </w:rPr>
        <w:br w:type="textWrapping"/>
      </w:r>
      <w:r>
        <w:rPr>
          <w:rFonts w:hint="default" w:ascii="Times New Roman" w:hAnsi="Times New Roman" w:eastAsia="仿宋_GB2312" w:cs="Times New Roman"/>
          <w:b w:val="0"/>
          <w:bCs w:val="0"/>
          <w:sz w:val="32"/>
          <w:szCs w:val="32"/>
          <w:lang w:val="en-US" w:eastAsia="zh-CN"/>
        </w:rPr>
        <w:t>&lt;</w:t>
      </w:r>
      <w:r>
        <w:rPr>
          <w:rFonts w:hint="default" w:ascii="Times New Roman" w:hAnsi="Times New Roman" w:eastAsia="仿宋_GB2312" w:cs="Times New Roman"/>
          <w:b w:val="0"/>
          <w:bCs w:val="0"/>
          <w:sz w:val="32"/>
          <w:szCs w:val="32"/>
          <w:lang w:val="en"/>
        </w:rPr>
        <w:t>内蒙古自治区制造业高质量发展专项资金管理办法</w:t>
      </w:r>
      <w:r>
        <w:rPr>
          <w:rFonts w:hint="default" w:ascii="Times New Roman" w:hAnsi="Times New Roman" w:eastAsia="仿宋_GB2312" w:cs="Times New Roman"/>
          <w:b w:val="0"/>
          <w:bCs w:val="0"/>
          <w:sz w:val="32"/>
          <w:szCs w:val="32"/>
          <w:lang w:val="en-US" w:eastAsia="zh-CN"/>
        </w:rPr>
        <w:t>&gt;</w:t>
      </w:r>
      <w:r>
        <w:rPr>
          <w:rFonts w:hint="default" w:ascii="Times New Roman" w:hAnsi="Times New Roman" w:eastAsia="仿宋_GB2312" w:cs="Times New Roman"/>
          <w:b w:val="0"/>
          <w:bCs w:val="0"/>
          <w:sz w:val="32"/>
          <w:szCs w:val="32"/>
          <w:lang w:val="en"/>
        </w:rPr>
        <w:t>的通知》（内工信投规字〔2025〕545号）、《关于内蒙古自治区第二批制造业数字化转型试点方案的批复》（内工信信软字〔2025〕128号）等文件精神，结合我市实际，制定本办法。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 w:eastAsia="zh-CN" w:bidi="ar-SA"/>
        </w:rPr>
      </w:pPr>
      <w:r>
        <w:rPr>
          <w:rFonts w:hint="eastAsia" w:ascii="黑体" w:hAnsi="黑体" w:eastAsia="黑体" w:cs="黑体"/>
          <w:b w:val="0"/>
          <w:bCs w:val="0"/>
          <w:kern w:val="2"/>
          <w:sz w:val="32"/>
          <w:szCs w:val="32"/>
          <w:highlight w:val="none"/>
          <w:lang w:val="en-US" w:eastAsia="zh-CN" w:bidi="ar-SA"/>
        </w:rPr>
        <w:t>第二条</w:t>
      </w:r>
      <w:r>
        <w:rPr>
          <w:rFonts w:hint="default" w:ascii="黑体" w:hAnsi="黑体" w:eastAsia="黑体" w:cs="黑体"/>
          <w:b w:val="0"/>
          <w:bCs w:val="0"/>
          <w:kern w:val="2"/>
          <w:sz w:val="32"/>
          <w:szCs w:val="32"/>
          <w:highlight w:val="none"/>
          <w:lang w:val="en" w:eastAsia="zh-CN" w:bidi="ar-SA"/>
        </w:rPr>
        <w:t xml:space="preserve"> </w:t>
      </w:r>
      <w:r>
        <w:rPr>
          <w:rFonts w:hint="eastAsia" w:ascii="仿宋_GB2312" w:hAnsi="仿宋_GB2312" w:eastAsia="仿宋_GB2312" w:cs="仿宋_GB2312"/>
          <w:b w:val="0"/>
          <w:bCs w:val="0"/>
          <w:kern w:val="2"/>
          <w:sz w:val="32"/>
          <w:szCs w:val="32"/>
          <w:highlight w:val="none"/>
          <w:lang w:val="en" w:eastAsia="zh-CN" w:bidi="ar-SA"/>
        </w:rPr>
        <w:t>本办法所称“专项资金”是指自治区财政、市级财政通过一般公共预算安排</w:t>
      </w:r>
      <w:r>
        <w:rPr>
          <w:rFonts w:hint="eastAsia" w:ascii="仿宋_GB2312" w:hAnsi="仿宋_GB2312" w:eastAsia="仿宋_GB2312" w:cs="仿宋_GB2312"/>
          <w:b w:val="0"/>
          <w:bCs w:val="0"/>
          <w:kern w:val="2"/>
          <w:sz w:val="32"/>
          <w:szCs w:val="32"/>
          <w:lang w:val="en" w:eastAsia="zh-CN" w:bidi="ar-SA"/>
        </w:rPr>
        <w:t>，用于支持羊产业链试点企业数字化转型设立的巴彦淖尔市制造业数字化转型试点专项资金。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kern w:val="2"/>
          <w:sz w:val="32"/>
          <w:szCs w:val="32"/>
          <w:lang w:val="en-US" w:eastAsia="zh-CN" w:bidi="ar-SA"/>
        </w:rPr>
        <w:t>第三条</w:t>
      </w:r>
      <w:r>
        <w:rPr>
          <w:rFonts w:hint="default" w:ascii="黑体" w:hAnsi="黑体" w:eastAsia="黑体" w:cs="黑体"/>
          <w:b w:val="0"/>
          <w:bCs w:val="0"/>
          <w:kern w:val="2"/>
          <w:sz w:val="32"/>
          <w:szCs w:val="32"/>
          <w:lang w:val="en" w:eastAsia="zh-CN" w:bidi="ar-SA"/>
        </w:rPr>
        <w:t xml:space="preserve"> </w:t>
      </w:r>
      <w:r>
        <w:rPr>
          <w:rFonts w:hint="eastAsia" w:ascii="仿宋_GB2312" w:hAnsi="仿宋_GB2312" w:eastAsia="仿宋_GB2312" w:cs="仿宋_GB2312"/>
          <w:sz w:val="32"/>
          <w:szCs w:val="32"/>
        </w:rPr>
        <w:t>专项资金管理</w:t>
      </w:r>
      <w:r>
        <w:rPr>
          <w:rFonts w:hint="eastAsia" w:ascii="仿宋_GB2312" w:hAnsi="仿宋_GB2312" w:eastAsia="仿宋_GB2312" w:cs="仿宋_GB2312"/>
          <w:sz w:val="32"/>
          <w:szCs w:val="32"/>
          <w:lang w:eastAsia="zh-CN"/>
        </w:rPr>
        <w:t>和使用遵循公开透明、公平公正，突出重点、科学管理、注重绩效、强化监督的原则，确保资金使用规范、安全和高效。</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jc w:val="center"/>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部门</w:t>
      </w:r>
      <w:r>
        <w:rPr>
          <w:rFonts w:hint="eastAsia" w:ascii="黑体" w:hAnsi="黑体" w:eastAsia="黑体" w:cs="黑体"/>
          <w:sz w:val="32"/>
          <w:szCs w:val="32"/>
        </w:rPr>
        <w:t>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第四条</w:t>
      </w:r>
      <w:r>
        <w:rPr>
          <w:rFonts w:hint="eastAsia" w:ascii="仿宋_GB2312" w:hAnsi="仿宋_GB2312" w:eastAsia="仿宋_GB2312" w:cs="仿宋_GB2312"/>
          <w:b w:val="0"/>
          <w:bCs w:val="0"/>
          <w:kern w:val="2"/>
          <w:sz w:val="32"/>
          <w:szCs w:val="32"/>
          <w:lang w:val="en-US" w:eastAsia="zh-CN" w:bidi="ar-SA"/>
        </w:rPr>
        <w:t xml:space="preserve"> 市工信局、市财政局、各旗县区（开发区）工信部门、财政部门按照职责分工、各司其职，协同做好专项资金管理工作。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市工信局主要职责：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负责专项资金申请设立、方案调整、资金清算等事项；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会同市财政局制（修）订专项资金管理办法，确定资金使用范围和支持方向；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制定专项资金项目申报指南，明确申报方向和申报条件等要求。组织指导项目申报、审核，做好相关材料的归档；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科学设立专项资金绩效目标，做好绩效管理和专项资金的执行监督；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负责组织项目评审、公示和验收，研究确定专项资金分配方案，按程序上报市政府审定；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按照规定应当履行的其他职责。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市财政局主要职责：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对专项资金使用范围、支持方向进行合规性审查；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按照市工信局提出的专项资金分配方案下达专项资金；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组织开展专项资金重点绩效评价和财会监督；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按照规定应当履行的其他职责。</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仿宋_GB2312" w:cs="Times New Roman"/>
          <w:color w:val="auto"/>
          <w:kern w:val="2"/>
          <w:sz w:val="32"/>
          <w:szCs w:val="40"/>
          <w:highlight w:val="none"/>
          <w:lang w:val="en-US" w:eastAsia="zh-CN" w:bidi="ar-SA"/>
        </w:rPr>
      </w:pPr>
      <w:r>
        <w:rPr>
          <w:rFonts w:hint="eastAsia" w:ascii="Times New Roman" w:hAnsi="Times New Roman" w:eastAsia="仿宋_GB2312" w:cs="Times New Roman"/>
          <w:color w:val="auto"/>
          <w:kern w:val="2"/>
          <w:sz w:val="32"/>
          <w:szCs w:val="40"/>
          <w:highlight w:val="none"/>
          <w:lang w:val="en-US" w:eastAsia="zh-CN" w:bidi="ar-SA"/>
        </w:rPr>
        <w:t>（三）</w:t>
      </w:r>
      <w:r>
        <w:rPr>
          <w:rFonts w:hint="default" w:ascii="Times New Roman" w:hAnsi="Times New Roman" w:eastAsia="仿宋_GB2312" w:cs="Times New Roman"/>
          <w:color w:val="auto"/>
          <w:kern w:val="2"/>
          <w:sz w:val="32"/>
          <w:szCs w:val="40"/>
          <w:highlight w:val="none"/>
          <w:lang w:val="en-US" w:eastAsia="zh-CN" w:bidi="ar-SA"/>
        </w:rPr>
        <w:t>相关旗县区工信部门主要职责：做好数字化转型试点企业项目申报、初审和推荐等工</w:t>
      </w:r>
      <w:r>
        <w:rPr>
          <w:rFonts w:hint="eastAsia" w:ascii="Times New Roman" w:hAnsi="Times New Roman" w:eastAsia="仿宋_GB2312" w:cs="Times New Roman"/>
          <w:color w:val="auto"/>
          <w:kern w:val="2"/>
          <w:sz w:val="32"/>
          <w:szCs w:val="40"/>
          <w:highlight w:val="none"/>
          <w:lang w:val="en-US" w:eastAsia="zh-CN" w:bidi="ar-SA"/>
        </w:rPr>
        <w:t>作</w:t>
      </w:r>
      <w:r>
        <w:rPr>
          <w:rFonts w:hint="default" w:ascii="Times New Roman" w:hAnsi="Times New Roman" w:eastAsia="仿宋_GB2312" w:cs="Times New Roman"/>
          <w:color w:val="auto"/>
          <w:kern w:val="2"/>
          <w:sz w:val="32"/>
          <w:szCs w:val="40"/>
          <w:highlight w:val="none"/>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仿宋_GB2312" w:cs="Times New Roman"/>
          <w:color w:val="auto"/>
          <w:kern w:val="2"/>
          <w:sz w:val="32"/>
          <w:szCs w:val="40"/>
          <w:highlight w:val="none"/>
          <w:lang w:val="en-US" w:eastAsia="zh-CN" w:bidi="ar-SA"/>
        </w:rPr>
      </w:pPr>
      <w:r>
        <w:rPr>
          <w:rFonts w:hint="eastAsia" w:ascii="Times New Roman" w:hAnsi="Times New Roman" w:eastAsia="仿宋_GB2312" w:cs="Times New Roman"/>
          <w:color w:val="auto"/>
          <w:kern w:val="2"/>
          <w:sz w:val="32"/>
          <w:szCs w:val="40"/>
          <w:highlight w:val="none"/>
          <w:lang w:val="en-US" w:eastAsia="zh-CN" w:bidi="ar-SA"/>
        </w:rPr>
        <w:t>（四）</w:t>
      </w:r>
      <w:r>
        <w:rPr>
          <w:rFonts w:hint="default" w:ascii="Times New Roman" w:hAnsi="Times New Roman" w:eastAsia="仿宋_GB2312" w:cs="Times New Roman"/>
          <w:color w:val="auto"/>
          <w:kern w:val="2"/>
          <w:sz w:val="32"/>
          <w:szCs w:val="40"/>
          <w:highlight w:val="none"/>
          <w:lang w:val="en-US" w:eastAsia="zh-CN" w:bidi="ar-SA"/>
        </w:rPr>
        <w:t>相关旗县区</w:t>
      </w:r>
      <w:r>
        <w:rPr>
          <w:rFonts w:hint="eastAsia" w:ascii="Times New Roman" w:hAnsi="Times New Roman" w:eastAsia="仿宋_GB2312" w:cs="Times New Roman"/>
          <w:color w:val="auto"/>
          <w:kern w:val="2"/>
          <w:sz w:val="32"/>
          <w:szCs w:val="40"/>
          <w:highlight w:val="none"/>
          <w:lang w:val="en-US" w:eastAsia="zh-CN" w:bidi="ar-SA"/>
        </w:rPr>
        <w:t>财政</w:t>
      </w:r>
      <w:r>
        <w:rPr>
          <w:rFonts w:hint="default" w:ascii="Times New Roman" w:hAnsi="Times New Roman" w:eastAsia="仿宋_GB2312" w:cs="Times New Roman"/>
          <w:color w:val="auto"/>
          <w:kern w:val="2"/>
          <w:sz w:val="32"/>
          <w:szCs w:val="40"/>
          <w:highlight w:val="none"/>
          <w:lang w:val="en-US" w:eastAsia="zh-CN" w:bidi="ar-SA"/>
        </w:rPr>
        <w:t>部门主要职责</w:t>
      </w:r>
      <w:r>
        <w:rPr>
          <w:rFonts w:hint="eastAsia" w:ascii="Times New Roman" w:hAnsi="Times New Roman" w:eastAsia="仿宋_GB2312" w:cs="Times New Roman"/>
          <w:color w:val="auto"/>
          <w:kern w:val="2"/>
          <w:sz w:val="32"/>
          <w:szCs w:val="40"/>
          <w:highlight w:val="none"/>
          <w:lang w:val="en-US" w:eastAsia="zh-CN" w:bidi="ar-SA"/>
        </w:rPr>
        <w:t>：按照职能职责，配合有关部门做好相关工作。</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仿宋_GB2312" w:cs="Times New Roman"/>
          <w:color w:val="auto"/>
          <w:kern w:val="2"/>
          <w:sz w:val="32"/>
          <w:szCs w:val="40"/>
          <w:highlight w:val="none"/>
          <w:lang w:val="en-US" w:eastAsia="zh-CN" w:bidi="ar-SA"/>
        </w:rPr>
      </w:pPr>
      <w:r>
        <w:rPr>
          <w:rFonts w:hint="default" w:ascii="Times New Roman" w:hAnsi="Times New Roman" w:eastAsia="黑体" w:cs="Times New Roman"/>
          <w:b w:val="0"/>
          <w:bCs w:val="0"/>
          <w:color w:val="auto"/>
          <w:kern w:val="2"/>
          <w:sz w:val="32"/>
          <w:szCs w:val="40"/>
          <w:highlight w:val="none"/>
          <w:lang w:val="en-US" w:eastAsia="zh-CN" w:bidi="ar-SA"/>
        </w:rPr>
        <w:t>第</w:t>
      </w:r>
      <w:r>
        <w:rPr>
          <w:rFonts w:hint="eastAsia" w:ascii="Times New Roman" w:hAnsi="Times New Roman" w:eastAsia="黑体" w:cs="Times New Roman"/>
          <w:b w:val="0"/>
          <w:bCs w:val="0"/>
          <w:color w:val="auto"/>
          <w:kern w:val="2"/>
          <w:sz w:val="32"/>
          <w:szCs w:val="40"/>
          <w:highlight w:val="none"/>
          <w:lang w:val="en-US" w:eastAsia="zh-CN" w:bidi="ar-SA"/>
        </w:rPr>
        <w:t>五</w:t>
      </w:r>
      <w:r>
        <w:rPr>
          <w:rFonts w:hint="default" w:ascii="Times New Roman" w:hAnsi="Times New Roman" w:eastAsia="黑体" w:cs="Times New Roman"/>
          <w:b w:val="0"/>
          <w:bCs w:val="0"/>
          <w:color w:val="auto"/>
          <w:kern w:val="2"/>
          <w:sz w:val="32"/>
          <w:szCs w:val="40"/>
          <w:highlight w:val="none"/>
          <w:lang w:val="en-US" w:eastAsia="zh-CN" w:bidi="ar-SA"/>
        </w:rPr>
        <w:t xml:space="preserve">条 </w:t>
      </w:r>
      <w:r>
        <w:rPr>
          <w:rFonts w:hint="default" w:ascii="Times New Roman" w:hAnsi="Times New Roman" w:eastAsia="仿宋_GB2312" w:cs="Times New Roman"/>
          <w:color w:val="auto"/>
          <w:kern w:val="2"/>
          <w:sz w:val="32"/>
          <w:szCs w:val="40"/>
          <w:highlight w:val="none"/>
          <w:lang w:val="en-US" w:eastAsia="zh-CN" w:bidi="ar-SA"/>
        </w:rPr>
        <w:t>项目单位主要职责：</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仿宋_GB2312" w:cs="Times New Roman"/>
          <w:color w:val="auto"/>
          <w:kern w:val="2"/>
          <w:sz w:val="32"/>
          <w:szCs w:val="40"/>
          <w:highlight w:val="none"/>
          <w:lang w:val="en-US" w:eastAsia="zh-CN" w:bidi="ar-SA"/>
        </w:rPr>
      </w:pPr>
      <w:r>
        <w:rPr>
          <w:rFonts w:hint="default" w:ascii="Times New Roman" w:hAnsi="Times New Roman" w:eastAsia="仿宋_GB2312" w:cs="Times New Roman"/>
          <w:color w:val="auto"/>
          <w:kern w:val="2"/>
          <w:sz w:val="32"/>
          <w:szCs w:val="40"/>
          <w:highlight w:val="none"/>
          <w:lang w:val="en-US" w:eastAsia="zh-CN" w:bidi="ar-SA"/>
        </w:rPr>
        <w:t>（一）作为专项资金申报和使用主体，对申报项目及相关材料的真实性、合法性、准确性和有效性负责，是第一责任人；</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仿宋_GB2312" w:cs="Times New Roman"/>
          <w:color w:val="auto"/>
          <w:kern w:val="2"/>
          <w:sz w:val="32"/>
          <w:szCs w:val="40"/>
          <w:highlight w:val="none"/>
          <w:lang w:val="en-US" w:eastAsia="zh-CN" w:bidi="ar-SA"/>
        </w:rPr>
      </w:pPr>
      <w:r>
        <w:rPr>
          <w:rFonts w:hint="default" w:ascii="Times New Roman" w:hAnsi="Times New Roman" w:eastAsia="仿宋_GB2312" w:cs="Times New Roman"/>
          <w:color w:val="auto"/>
          <w:kern w:val="2"/>
          <w:sz w:val="32"/>
          <w:szCs w:val="40"/>
          <w:highlight w:val="none"/>
          <w:lang w:val="en-US" w:eastAsia="zh-CN" w:bidi="ar-SA"/>
        </w:rPr>
        <w:t>（二）严格按规定使用专项资金，对专项资金的使用绩效负责；</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仿宋_GB2312" w:cs="Times New Roman"/>
          <w:color w:val="auto"/>
          <w:kern w:val="2"/>
          <w:sz w:val="32"/>
          <w:szCs w:val="40"/>
          <w:highlight w:val="none"/>
          <w:lang w:val="en-US" w:eastAsia="zh-CN" w:bidi="ar-SA"/>
        </w:rPr>
      </w:pPr>
      <w:r>
        <w:rPr>
          <w:rFonts w:hint="default" w:ascii="Times New Roman" w:hAnsi="Times New Roman" w:eastAsia="仿宋_GB2312" w:cs="Times New Roman"/>
          <w:color w:val="auto"/>
          <w:kern w:val="2"/>
          <w:sz w:val="32"/>
          <w:szCs w:val="40"/>
          <w:highlight w:val="none"/>
          <w:lang w:val="en-US" w:eastAsia="zh-CN" w:bidi="ar-SA"/>
        </w:rPr>
        <w:t>（三）按照相关要求，将专项资金使用情况和绩效完成情况报属地工信主管部门备案；</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40"/>
          <w:highlight w:val="none"/>
          <w:lang w:val="en-US" w:eastAsia="zh-CN" w:bidi="ar-SA"/>
        </w:rPr>
      </w:pPr>
      <w:r>
        <w:rPr>
          <w:rFonts w:hint="default" w:ascii="Times New Roman" w:hAnsi="Times New Roman" w:eastAsia="仿宋_GB2312" w:cs="Times New Roman"/>
          <w:color w:val="auto"/>
          <w:kern w:val="2"/>
          <w:sz w:val="32"/>
          <w:szCs w:val="40"/>
          <w:highlight w:val="none"/>
          <w:lang w:val="en-US" w:eastAsia="zh-CN" w:bidi="ar-SA"/>
        </w:rPr>
        <w:t>（四）自觉接受各级财政、审计和工信等有关部门对专项资金的监督检查；</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40"/>
          <w:highlight w:val="none"/>
          <w:lang w:val="en-US" w:eastAsia="zh-CN" w:bidi="ar-SA"/>
        </w:rPr>
      </w:pPr>
      <w:r>
        <w:rPr>
          <w:rFonts w:hint="default" w:ascii="Times New Roman" w:hAnsi="Times New Roman" w:eastAsia="仿宋_GB2312" w:cs="Times New Roman"/>
          <w:color w:val="auto"/>
          <w:kern w:val="2"/>
          <w:sz w:val="32"/>
          <w:szCs w:val="40"/>
          <w:highlight w:val="none"/>
          <w:lang w:val="en-US" w:eastAsia="zh-CN" w:bidi="ar-SA"/>
        </w:rPr>
        <w:t>（五）按照规定应当履行的其他职责。</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章</w:t>
      </w:r>
      <w:r>
        <w:rPr>
          <w:rFonts w:hint="default" w:ascii="黑体" w:hAnsi="黑体" w:eastAsia="黑体" w:cs="黑体"/>
          <w:sz w:val="32"/>
          <w:szCs w:val="32"/>
          <w:lang w:val="en"/>
        </w:rPr>
        <w:t xml:space="preserve"> </w:t>
      </w:r>
      <w:r>
        <w:rPr>
          <w:rFonts w:hint="eastAsia" w:ascii="黑体" w:hAnsi="黑体" w:eastAsia="黑体" w:cs="黑体"/>
          <w:sz w:val="32"/>
          <w:szCs w:val="32"/>
        </w:rPr>
        <w:t>支持对象</w:t>
      </w:r>
    </w:p>
    <w:p>
      <w:pPr>
        <w:keepNext w:val="0"/>
        <w:keepLines w:val="0"/>
        <w:pageBreakBefore w:val="0"/>
        <w:widowControl w:val="0"/>
        <w:tabs>
          <w:tab w:val="left" w:pos="374"/>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 xml:space="preserve">第六条 </w:t>
      </w:r>
      <w:r>
        <w:rPr>
          <w:rFonts w:hint="eastAsia" w:ascii="仿宋_GB2312" w:hAnsi="仿宋_GB2312" w:eastAsia="仿宋_GB2312" w:cs="仿宋_GB2312"/>
          <w:sz w:val="32"/>
          <w:szCs w:val="32"/>
        </w:rPr>
        <w:t>专项资金的支持对象是依法登记注册</w:t>
      </w:r>
      <w:r>
        <w:rPr>
          <w:rFonts w:hint="eastAsia" w:ascii="仿宋_GB2312" w:hAnsi="仿宋_GB2312" w:eastAsia="仿宋_GB2312" w:cs="仿宋_GB2312"/>
          <w:sz w:val="32"/>
          <w:szCs w:val="32"/>
          <w:lang w:eastAsia="zh-CN"/>
        </w:rPr>
        <w:t>的羊产业链企业以及政府采购的相关服务主体</w:t>
      </w:r>
      <w:r>
        <w:rPr>
          <w:rFonts w:hint="eastAsia" w:ascii="仿宋_GB2312" w:hAnsi="仿宋_GB2312" w:eastAsia="仿宋_GB2312" w:cs="仿宋_GB2312"/>
          <w:sz w:val="32"/>
          <w:szCs w:val="32"/>
        </w:rPr>
        <w:t>。</w:t>
      </w:r>
    </w:p>
    <w:p>
      <w:pPr>
        <w:keepNext w:val="0"/>
        <w:keepLines w:val="0"/>
        <w:pageBreakBefore w:val="0"/>
        <w:widowControl w:val="0"/>
        <w:tabs>
          <w:tab w:val="left" w:pos="374"/>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 xml:space="preserve">第七条 </w:t>
      </w:r>
      <w:r>
        <w:rPr>
          <w:rFonts w:hint="eastAsia" w:ascii="仿宋_GB2312" w:hAnsi="仿宋_GB2312" w:eastAsia="仿宋_GB2312" w:cs="仿宋_GB2312"/>
          <w:sz w:val="32"/>
          <w:szCs w:val="32"/>
        </w:rPr>
        <w:t>专项资金支持对象应具备以下基本条件：</w:t>
      </w:r>
    </w:p>
    <w:p>
      <w:pPr>
        <w:keepNext w:val="0"/>
        <w:keepLines w:val="0"/>
        <w:pageBreakBefore w:val="0"/>
        <w:widowControl w:val="0"/>
        <w:numPr>
          <w:ilvl w:val="0"/>
          <w:numId w:val="1"/>
        </w:numPr>
        <w:tabs>
          <w:tab w:val="left" w:pos="374"/>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转型实施主体：须在巴彦淖尔市域内登记注册、具有独立法人资格，合法经营，依法纳税，财务及信用记录良好。同时，企业未被列入经营异常名录或严重失信主体名单，近三年未发生重大安全、质量、环境污染等事故及偷税漏税等违法行为。</w:t>
      </w:r>
    </w:p>
    <w:p>
      <w:pPr>
        <w:keepNext w:val="0"/>
        <w:keepLines w:val="0"/>
        <w:pageBreakBefore w:val="0"/>
        <w:widowControl w:val="0"/>
        <w:numPr>
          <w:ilvl w:val="0"/>
          <w:numId w:val="1"/>
        </w:numPr>
        <w:tabs>
          <w:tab w:val="left" w:pos="374"/>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他服务主体：须在中华人民共和国境内依法注册登记，合法经营，依法纳税，财务及信用记录良好，企业未被列入经营异常名录或严重失信主体名单，近三年未发生重大安全、质量、环境污染等事故及偷税漏税等违法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default" w:ascii="黑体" w:hAnsi="黑体" w:eastAsia="黑体" w:cs="黑体"/>
          <w:sz w:val="32"/>
          <w:szCs w:val="32"/>
          <w:highlight w:val="none"/>
          <w:lang w:val="en"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章</w:t>
      </w:r>
      <w:r>
        <w:rPr>
          <w:rFonts w:hint="default" w:ascii="黑体" w:hAnsi="黑体" w:eastAsia="黑体" w:cs="黑体"/>
          <w:sz w:val="32"/>
          <w:szCs w:val="32"/>
          <w:highlight w:val="none"/>
          <w:lang w:val="en"/>
        </w:rPr>
        <w:t xml:space="preserve"> </w:t>
      </w:r>
      <w:r>
        <w:rPr>
          <w:rFonts w:hint="eastAsia" w:ascii="黑体" w:hAnsi="黑体" w:eastAsia="黑体" w:cs="黑体"/>
          <w:sz w:val="32"/>
          <w:szCs w:val="32"/>
          <w:highlight w:val="none"/>
          <w:lang w:eastAsia="zh-CN"/>
        </w:rPr>
        <w:t>使用范围</w:t>
      </w:r>
      <w:r>
        <w:rPr>
          <w:rFonts w:hint="default" w:ascii="黑体" w:hAnsi="黑体" w:eastAsia="黑体" w:cs="黑体"/>
          <w:sz w:val="32"/>
          <w:szCs w:val="32"/>
          <w:highlight w:val="none"/>
          <w:lang w:val="en" w:eastAsia="zh-CN"/>
        </w:rPr>
        <w:t>及资金拨付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none"/>
          <w:lang w:val="en" w:eastAsia="zh-CN"/>
        </w:rPr>
      </w:pPr>
      <w:r>
        <w:rPr>
          <w:rFonts w:hint="eastAsia" w:ascii="黑体" w:hAnsi="黑体" w:eastAsia="黑体" w:cs="黑体"/>
          <w:b w:val="0"/>
          <w:bCs w:val="0"/>
          <w:kern w:val="2"/>
          <w:sz w:val="32"/>
          <w:szCs w:val="32"/>
          <w:highlight w:val="none"/>
          <w:lang w:val="en-US" w:eastAsia="zh-CN" w:bidi="ar-SA"/>
        </w:rPr>
        <w:t>第八条</w:t>
      </w:r>
      <w:r>
        <w:rPr>
          <w:rFonts w:hint="default" w:ascii="仿宋_GB2312" w:hAnsi="仿宋_GB2312" w:eastAsia="仿宋_GB2312" w:cs="仿宋_GB2312"/>
          <w:b/>
          <w:bCs/>
          <w:sz w:val="32"/>
          <w:szCs w:val="32"/>
          <w:highlight w:val="none"/>
          <w:lang w:val="en"/>
        </w:rPr>
        <w:t xml:space="preserve"> </w:t>
      </w:r>
      <w:r>
        <w:rPr>
          <w:rFonts w:hint="eastAsia" w:ascii="仿宋_GB2312" w:hAnsi="仿宋_GB2312" w:eastAsia="仿宋_GB2312" w:cs="仿宋_GB2312"/>
          <w:b w:val="0"/>
          <w:bCs w:val="0"/>
          <w:sz w:val="32"/>
          <w:szCs w:val="32"/>
          <w:highlight w:val="none"/>
          <w:lang w:val="en" w:eastAsia="zh-CN"/>
        </w:rPr>
        <w:t>统筹专项资金，专项资金支持范围和方向：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 w:eastAsia="zh-CN"/>
        </w:rPr>
      </w:pPr>
      <w:r>
        <w:rPr>
          <w:rFonts w:hint="eastAsia" w:ascii="仿宋_GB2312" w:hAnsi="仿宋_GB2312" w:eastAsia="仿宋_GB2312" w:cs="仿宋_GB2312"/>
          <w:b w:val="0"/>
          <w:bCs w:val="0"/>
          <w:sz w:val="32"/>
          <w:szCs w:val="32"/>
          <w:highlight w:val="none"/>
          <w:lang w:val="en" w:eastAsia="zh-CN"/>
        </w:rPr>
        <w:t>（一）支持工业互联网平台建设。对新创建的行业级（区域级）、企业级工业互联网平台，按实际完成投资额的</w:t>
      </w:r>
      <w:r>
        <w:rPr>
          <w:rFonts w:hint="eastAsia" w:ascii="仿宋_GB2312" w:hAnsi="仿宋_GB2312" w:eastAsia="仿宋_GB2312" w:cs="仿宋_GB2312"/>
          <w:b w:val="0"/>
          <w:bCs w:val="0"/>
          <w:sz w:val="32"/>
          <w:szCs w:val="32"/>
          <w:highlight w:val="none"/>
          <w:lang w:val="en-US" w:eastAsia="zh-CN"/>
        </w:rPr>
        <w:t>50</w:t>
      </w:r>
      <w:r>
        <w:rPr>
          <w:rFonts w:hint="eastAsia" w:ascii="仿宋_GB2312" w:hAnsi="仿宋_GB2312" w:eastAsia="仿宋_GB2312" w:cs="仿宋_GB2312"/>
          <w:b w:val="0"/>
          <w:bCs w:val="0"/>
          <w:sz w:val="32"/>
          <w:szCs w:val="32"/>
          <w:highlight w:val="none"/>
          <w:lang w:val="en" w:eastAsia="zh-CN"/>
        </w:rPr>
        <w:t>%奖补，单个项目奖补最高不超过</w:t>
      </w:r>
      <w:r>
        <w:rPr>
          <w:rFonts w:hint="eastAsia" w:ascii="仿宋_GB2312" w:hAnsi="仿宋_GB2312" w:eastAsia="仿宋_GB2312" w:cs="仿宋_GB2312"/>
          <w:b w:val="0"/>
          <w:bCs w:val="0"/>
          <w:sz w:val="32"/>
          <w:szCs w:val="32"/>
          <w:highlight w:val="none"/>
          <w:lang w:val="en-US" w:eastAsia="zh-CN"/>
        </w:rPr>
        <w:t>300</w:t>
      </w:r>
      <w:r>
        <w:rPr>
          <w:rFonts w:hint="eastAsia" w:ascii="仿宋_GB2312" w:hAnsi="仿宋_GB2312" w:eastAsia="仿宋_GB2312" w:cs="仿宋_GB2312"/>
          <w:b w:val="0"/>
          <w:bCs w:val="0"/>
          <w:sz w:val="32"/>
          <w:szCs w:val="32"/>
          <w:highlight w:val="none"/>
          <w:lang w:val="en" w:eastAsia="zh-CN"/>
        </w:rPr>
        <w:t>万元、</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lang w:val="en"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 w:eastAsia="zh-CN"/>
        </w:rPr>
      </w:pPr>
      <w:r>
        <w:rPr>
          <w:rFonts w:hint="eastAsia" w:ascii="仿宋_GB2312" w:hAnsi="仿宋_GB2312" w:eastAsia="仿宋_GB2312" w:cs="仿宋_GB2312"/>
          <w:b w:val="0"/>
          <w:bCs w:val="0"/>
          <w:sz w:val="32"/>
          <w:szCs w:val="32"/>
          <w:highlight w:val="none"/>
          <w:lang w:val="en" w:eastAsia="zh-CN"/>
        </w:rPr>
        <w:t>（二）支持企业数字化改造。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lang w:val="en-US" w:eastAsia="zh-CN"/>
        </w:rPr>
        <w:t>1.</w:t>
      </w:r>
      <w:r>
        <w:rPr>
          <w:rFonts w:hint="eastAsia" w:ascii="仿宋_GB2312" w:hAnsi="仿宋_GB2312" w:eastAsia="仿宋_GB2312" w:cs="仿宋_GB2312"/>
          <w:b w:val="0"/>
          <w:bCs w:val="0"/>
          <w:sz w:val="32"/>
          <w:szCs w:val="32"/>
          <w:highlight w:val="none"/>
          <w:u w:val="none"/>
          <w:lang w:eastAsia="zh-CN"/>
        </w:rPr>
        <w:t>支持企业</w:t>
      </w:r>
      <w:r>
        <w:rPr>
          <w:rFonts w:hint="eastAsia" w:ascii="仿宋_GB2312" w:hAnsi="仿宋_GB2312" w:eastAsia="仿宋_GB2312" w:cs="仿宋_GB2312"/>
          <w:b w:val="0"/>
          <w:bCs w:val="0"/>
          <w:sz w:val="32"/>
          <w:szCs w:val="32"/>
          <w:highlight w:val="none"/>
          <w:u w:val="none"/>
        </w:rPr>
        <w:t>进行软件部署和设备数据接入工业互联网平台改造，改造后达到数字化水平L2级的试点企业，按照数字化改造投资的80%给予补助，每户企业</w:t>
      </w:r>
      <w:r>
        <w:rPr>
          <w:rFonts w:hint="eastAsia" w:ascii="仿宋_GB2312" w:hAnsi="仿宋_GB2312" w:eastAsia="仿宋_GB2312" w:cs="仿宋_GB2312"/>
          <w:b w:val="0"/>
          <w:bCs w:val="0"/>
          <w:sz w:val="32"/>
          <w:szCs w:val="32"/>
          <w:highlight w:val="none"/>
          <w:u w:val="none"/>
          <w:lang w:eastAsia="zh-CN"/>
        </w:rPr>
        <w:t>补助</w:t>
      </w:r>
      <w:r>
        <w:rPr>
          <w:rFonts w:hint="eastAsia" w:ascii="仿宋_GB2312" w:hAnsi="仿宋_GB2312" w:eastAsia="仿宋_GB2312" w:cs="仿宋_GB2312"/>
          <w:b w:val="0"/>
          <w:bCs w:val="0"/>
          <w:sz w:val="32"/>
          <w:szCs w:val="32"/>
          <w:highlight w:val="none"/>
          <w:u w:val="none"/>
        </w:rPr>
        <w:t>最高不超过10万元。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lang w:val="en-US" w:eastAsia="zh-CN"/>
        </w:rPr>
        <w:t>2.支持企业</w:t>
      </w:r>
      <w:r>
        <w:rPr>
          <w:rFonts w:hint="eastAsia" w:ascii="仿宋_GB2312" w:hAnsi="仿宋_GB2312" w:eastAsia="仿宋_GB2312" w:cs="仿宋_GB2312"/>
          <w:b w:val="0"/>
          <w:bCs w:val="0"/>
          <w:sz w:val="32"/>
          <w:szCs w:val="32"/>
          <w:highlight w:val="none"/>
          <w:u w:val="none"/>
        </w:rPr>
        <w:t>进行设备数字化改造、软件部署和设备数据接入工业互联网平台改造，改造后达到数字化水平L2级的试点企业，按照数字化改造投资的50%、数字化改造相关设备投资的20%给予补助，每户企业</w:t>
      </w:r>
      <w:r>
        <w:rPr>
          <w:rFonts w:hint="eastAsia" w:ascii="仿宋_GB2312" w:hAnsi="仿宋_GB2312" w:eastAsia="仿宋_GB2312" w:cs="仿宋_GB2312"/>
          <w:b w:val="0"/>
          <w:bCs w:val="0"/>
          <w:sz w:val="32"/>
          <w:szCs w:val="32"/>
          <w:highlight w:val="none"/>
          <w:u w:val="none"/>
          <w:lang w:eastAsia="zh-CN"/>
        </w:rPr>
        <w:t>补助</w:t>
      </w:r>
      <w:r>
        <w:rPr>
          <w:rFonts w:hint="eastAsia" w:ascii="仿宋_GB2312" w:hAnsi="仿宋_GB2312" w:eastAsia="仿宋_GB2312" w:cs="仿宋_GB2312"/>
          <w:b w:val="0"/>
          <w:bCs w:val="0"/>
          <w:sz w:val="32"/>
          <w:szCs w:val="32"/>
          <w:highlight w:val="none"/>
          <w:u w:val="none"/>
        </w:rPr>
        <w:t>最高不超过50万元。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val="0"/>
          <w:bCs w:val="0"/>
          <w:sz w:val="32"/>
          <w:szCs w:val="32"/>
          <w:highlight w:val="none"/>
          <w:u w:val="none"/>
          <w:lang w:val="en-US" w:eastAsia="zh-CN"/>
        </w:rPr>
        <w:t>3.</w:t>
      </w:r>
      <w:r>
        <w:rPr>
          <w:rFonts w:hint="eastAsia" w:ascii="仿宋_GB2312" w:hAnsi="仿宋_GB2312" w:eastAsia="仿宋_GB2312" w:cs="仿宋_GB2312"/>
          <w:b w:val="0"/>
          <w:bCs w:val="0"/>
          <w:sz w:val="32"/>
          <w:szCs w:val="32"/>
          <w:highlight w:val="none"/>
          <w:u w:val="none"/>
          <w:lang w:eastAsia="zh-CN"/>
        </w:rPr>
        <w:t>支</w:t>
      </w:r>
      <w:r>
        <w:rPr>
          <w:rFonts w:hint="eastAsia" w:ascii="仿宋_GB2312" w:hAnsi="仿宋_GB2312" w:eastAsia="仿宋_GB2312" w:cs="仿宋_GB2312"/>
          <w:sz w:val="32"/>
          <w:szCs w:val="32"/>
          <w:highlight w:val="none"/>
          <w:u w:val="none"/>
          <w:lang w:eastAsia="zh-CN"/>
        </w:rPr>
        <w:t>持企业</w:t>
      </w:r>
      <w:r>
        <w:rPr>
          <w:rFonts w:hint="eastAsia" w:ascii="仿宋_GB2312" w:hAnsi="仿宋_GB2312" w:eastAsia="仿宋_GB2312" w:cs="仿宋_GB2312"/>
          <w:sz w:val="32"/>
          <w:szCs w:val="32"/>
          <w:highlight w:val="none"/>
          <w:u w:val="none"/>
        </w:rPr>
        <w:t>进行设备数字化改造、软件部署和设备数据接入工业互联网平台改造，改造后达到数字化水平L3级，认定为自治区级及以上数字化转型标杆</w:t>
      </w:r>
      <w:r>
        <w:rPr>
          <w:rFonts w:hint="eastAsia" w:ascii="仿宋_GB2312" w:hAnsi="仿宋_GB2312" w:eastAsia="仿宋_GB2312" w:cs="仿宋_GB2312"/>
          <w:sz w:val="32"/>
          <w:szCs w:val="32"/>
          <w:highlight w:val="none"/>
          <w:u w:val="none"/>
          <w:lang w:eastAsia="zh-CN"/>
        </w:rPr>
        <w:t>、智能工厂</w:t>
      </w:r>
      <w:r>
        <w:rPr>
          <w:rFonts w:hint="eastAsia" w:ascii="仿宋_GB2312" w:hAnsi="仿宋_GB2312" w:eastAsia="仿宋_GB2312" w:cs="仿宋_GB2312"/>
          <w:sz w:val="32"/>
          <w:szCs w:val="32"/>
          <w:highlight w:val="none"/>
          <w:u w:val="none"/>
        </w:rPr>
        <w:t>的试点企业，按照数字化改造投资的30%、数字化改造相关设备投资的20%</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每户企业补助最高不超过300万元。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支持试点示范。对认定为自治区级（含）以上的数字化转型示范标杆企业、智能工厂一次性奖补30万元。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支持企业开展“两化融合”贯标</w:t>
      </w:r>
      <w:r>
        <w:rPr>
          <w:rFonts w:hint="eastAsia" w:ascii="Times New Roman" w:hAnsi="Times New Roman" w:eastAsia="仿宋_GB2312" w:cs="Times New Roman"/>
          <w:color w:val="auto"/>
          <w:sz w:val="32"/>
          <w:szCs w:val="32"/>
          <w:highlight w:val="none"/>
          <w:lang w:val="en-US" w:eastAsia="zh-CN"/>
        </w:rPr>
        <w:t>、数字化转型成熟度贯标</w:t>
      </w:r>
      <w:r>
        <w:rPr>
          <w:rFonts w:hint="default" w:ascii="Times New Roman" w:hAnsi="Times New Roman" w:eastAsia="仿宋_GB2312" w:cs="Times New Roman"/>
          <w:color w:val="auto"/>
          <w:sz w:val="32"/>
          <w:szCs w:val="32"/>
          <w:highlight w:val="none"/>
          <w:lang w:val="en-US" w:eastAsia="zh-CN"/>
        </w:rPr>
        <w:t>。对通过国家“两化融合”管理体系标准贯标评定的企业达到A级</w:t>
      </w:r>
      <w:r>
        <w:rPr>
          <w:rFonts w:hint="eastAsia" w:ascii="Times New Roman" w:hAnsi="Times New Roman" w:eastAsia="仿宋_GB2312" w:cs="Times New Roman"/>
          <w:color w:val="auto"/>
          <w:sz w:val="32"/>
          <w:szCs w:val="32"/>
          <w:highlight w:val="none"/>
          <w:lang w:val="en-US" w:eastAsia="zh-CN"/>
        </w:rPr>
        <w:t>及以上或者通过数字化转型成熟度贯标评定的企业达到L2级一次性</w:t>
      </w:r>
      <w:r>
        <w:rPr>
          <w:rFonts w:hint="default" w:ascii="Times New Roman" w:hAnsi="Times New Roman" w:eastAsia="仿宋_GB2312" w:cs="Times New Roman"/>
          <w:color w:val="auto"/>
          <w:sz w:val="32"/>
          <w:szCs w:val="32"/>
          <w:highlight w:val="none"/>
          <w:lang w:val="en-US" w:eastAsia="zh-CN"/>
        </w:rPr>
        <w:t>奖补</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按照</w:t>
      </w:r>
      <w:r>
        <w:rPr>
          <w:rFonts w:hint="eastAsia" w:ascii="Times New Roman" w:hAnsi="Times New Roman" w:eastAsia="仿宋_GB2312" w:cs="Times New Roman"/>
          <w:color w:val="auto"/>
          <w:sz w:val="32"/>
          <w:szCs w:val="32"/>
          <w:highlight w:val="none"/>
          <w:lang w:val="en-US" w:eastAsia="zh-CN"/>
        </w:rPr>
        <w:t>证书签发</w:t>
      </w:r>
      <w:r>
        <w:rPr>
          <w:rFonts w:hint="default" w:ascii="Times New Roman" w:hAnsi="Times New Roman" w:eastAsia="仿宋_GB2312" w:cs="Times New Roman"/>
          <w:color w:val="auto"/>
          <w:sz w:val="32"/>
          <w:szCs w:val="32"/>
          <w:highlight w:val="none"/>
          <w:lang w:val="en-US" w:eastAsia="zh-CN"/>
        </w:rPr>
        <w:t>的先后顺序</w:t>
      </w:r>
      <w:bookmarkStart w:id="0" w:name="_GoBack"/>
      <w:bookmarkEnd w:id="0"/>
      <w:r>
        <w:rPr>
          <w:rFonts w:hint="default" w:ascii="Times New Roman" w:hAnsi="Times New Roman" w:eastAsia="仿宋_GB2312" w:cs="Times New Roman"/>
          <w:color w:val="auto"/>
          <w:sz w:val="32"/>
          <w:szCs w:val="32"/>
          <w:highlight w:val="none"/>
          <w:lang w:val="en-US" w:eastAsia="zh-CN"/>
        </w:rPr>
        <w:t>给予奖补，总奖补资金原则上不超过</w:t>
      </w:r>
      <w:r>
        <w:rPr>
          <w:rFonts w:hint="eastAsia" w:ascii="Times New Roman" w:hAnsi="Times New Roman" w:eastAsia="仿宋_GB2312" w:cs="Times New Roman"/>
          <w:color w:val="auto"/>
          <w:sz w:val="32"/>
          <w:szCs w:val="32"/>
          <w:highlight w:val="none"/>
          <w:lang w:val="en-US" w:eastAsia="zh-CN"/>
        </w:rPr>
        <w:t>250</w:t>
      </w:r>
      <w:r>
        <w:rPr>
          <w:rFonts w:hint="default" w:ascii="Times New Roman" w:hAnsi="Times New Roman" w:eastAsia="仿宋_GB2312" w:cs="Times New Roman"/>
          <w:color w:val="auto"/>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（五）支持全过程监督和服务。以政府购买服务方式委托第三方机构开展咨询诊断、全过程监督和跟踪指导等服务，做好中期绩效评价和终期验收，确保完成各项目标任务；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（六）其他方面。支持供需对接、人才培训、宣贯推广、成果发布、项目评审验收、转型成果测评等相关活动。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黑体" w:hAnsi="黑体" w:eastAsia="黑体" w:cs="黑体"/>
          <w:b w:val="0"/>
          <w:bCs w:val="0"/>
          <w:kern w:val="2"/>
          <w:sz w:val="32"/>
          <w:szCs w:val="32"/>
          <w:highlight w:val="none"/>
          <w:lang w:val="en-US" w:eastAsia="zh-CN" w:bidi="ar-SA"/>
        </w:rPr>
        <w:t>第九条</w:t>
      </w:r>
      <w:r>
        <w:rPr>
          <w:rFonts w:hint="eastAsia" w:ascii="仿宋_GB2312" w:hAnsi="仿宋_GB2312" w:eastAsia="仿宋_GB2312" w:cs="仿宋_GB2312"/>
          <w:sz w:val="32"/>
          <w:szCs w:val="32"/>
          <w:highlight w:val="none"/>
          <w:u w:val="none"/>
          <w:lang w:val="en-US" w:eastAsia="zh-CN"/>
        </w:rPr>
        <w:t xml:space="preserve"> 数字化转型投入是指企业在开展数字化改造过程中，用于数字化改造相关设备投入、软件投入、云服务投入、数据采集与传输设备投入、流程改造与创新投入等所支出的资金，投入资金要大于奖补资金</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 w:eastAsia="zh-CN"/>
        </w:rPr>
        <w:t>第五章</w:t>
      </w:r>
      <w:r>
        <w:rPr>
          <w:rFonts w:hint="default" w:ascii="黑体" w:hAnsi="黑体" w:eastAsia="黑体" w:cs="黑体"/>
          <w:sz w:val="32"/>
          <w:szCs w:val="32"/>
          <w:highlight w:val="none"/>
          <w:lang w:val="en"/>
        </w:rPr>
        <w:t xml:space="preserve"> </w:t>
      </w:r>
      <w:r>
        <w:rPr>
          <w:rFonts w:hint="eastAsia" w:ascii="黑体" w:hAnsi="黑体" w:eastAsia="黑体" w:cs="黑体"/>
          <w:sz w:val="32"/>
          <w:szCs w:val="32"/>
          <w:highlight w:val="none"/>
          <w:lang w:eastAsia="zh-CN"/>
        </w:rPr>
        <w:t>项目申报、评审和资金管理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lang w:val="en-US" w:eastAsia="zh-CN"/>
        </w:rPr>
      </w:pPr>
      <w:r>
        <w:rPr>
          <w:rFonts w:hint="eastAsia" w:ascii="黑体" w:hAnsi="黑体" w:eastAsia="黑体" w:cs="黑体"/>
          <w:sz w:val="32"/>
          <w:szCs w:val="32"/>
          <w:highlight w:val="none"/>
          <w:lang w:val="en-US" w:eastAsia="zh-CN"/>
        </w:rPr>
        <w:t>第十条</w:t>
      </w:r>
      <w:r>
        <w:rPr>
          <w:rFonts w:hint="eastAsia" w:ascii="仿宋_GB2312" w:hAnsi="仿宋_GB2312" w:eastAsia="仿宋_GB2312" w:cs="仿宋_GB2312"/>
          <w:b w:val="0"/>
          <w:bCs w:val="0"/>
          <w:i w:val="0"/>
          <w:iCs w:val="0"/>
          <w:color w:val="auto"/>
          <w:sz w:val="32"/>
          <w:szCs w:val="32"/>
          <w:highlight w:val="none"/>
          <w:lang w:val="en-US" w:eastAsia="zh-CN"/>
        </w:rPr>
        <w:t xml:space="preserve"> 申报企业按申报指南要求，向旗县区工信部门提出项目资金申请，旗县区工信部门对申报材料进行初审后，上报市工信局。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lang w:val="en-US" w:eastAsia="zh-CN"/>
        </w:rPr>
      </w:pPr>
      <w:r>
        <w:rPr>
          <w:rFonts w:hint="eastAsia" w:ascii="黑体" w:hAnsi="黑体" w:eastAsia="黑体" w:cs="黑体"/>
          <w:sz w:val="32"/>
          <w:szCs w:val="32"/>
          <w:highlight w:val="none"/>
          <w:lang w:val="en-US" w:eastAsia="zh-CN"/>
        </w:rPr>
        <w:t>第十一条</w:t>
      </w:r>
      <w:r>
        <w:rPr>
          <w:rFonts w:hint="eastAsia" w:ascii="仿宋_GB2312" w:hAnsi="仿宋_GB2312" w:eastAsia="仿宋_GB2312" w:cs="仿宋_GB2312"/>
          <w:b w:val="0"/>
          <w:bCs w:val="0"/>
          <w:i w:val="0"/>
          <w:iCs w:val="0"/>
          <w:color w:val="auto"/>
          <w:sz w:val="32"/>
          <w:szCs w:val="32"/>
          <w:highlight w:val="none"/>
          <w:lang w:val="en-US" w:eastAsia="zh-CN"/>
        </w:rPr>
        <w:t xml:space="preserve"> 市工信局对各地区申报项目分批次进行评审。评审可根据项目实际情况采取聘请专家、委托第三方专业机构等方式进行。相关费用按有关规定执行。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i w:val="0"/>
          <w:iCs w:val="0"/>
          <w:color w:val="auto"/>
          <w:sz w:val="32"/>
          <w:szCs w:val="32"/>
          <w:highlight w:val="none"/>
          <w:lang w:val="en" w:eastAsia="zh-CN"/>
        </w:rPr>
      </w:pPr>
      <w:r>
        <w:rPr>
          <w:rFonts w:hint="eastAsia" w:ascii="黑体" w:hAnsi="黑体" w:eastAsia="黑体" w:cs="黑体"/>
          <w:b w:val="0"/>
          <w:bCs w:val="0"/>
          <w:kern w:val="2"/>
          <w:sz w:val="32"/>
          <w:szCs w:val="32"/>
          <w:lang w:val="en-US" w:eastAsia="zh-CN" w:bidi="ar-SA"/>
        </w:rPr>
        <w:t>第十二条</w:t>
      </w:r>
      <w:r>
        <w:rPr>
          <w:rFonts w:hint="default" w:ascii="黑体" w:hAnsi="黑体" w:eastAsia="黑体" w:cs="黑体"/>
          <w:b w:val="0"/>
          <w:bCs w:val="0"/>
          <w:kern w:val="2"/>
          <w:sz w:val="32"/>
          <w:szCs w:val="32"/>
          <w:lang w:val="en" w:eastAsia="zh-CN" w:bidi="ar-SA"/>
        </w:rPr>
        <w:t xml:space="preserve"> </w:t>
      </w:r>
      <w:r>
        <w:rPr>
          <w:rFonts w:hint="default" w:ascii="仿宋_GB2312" w:hAnsi="仿宋_GB2312" w:eastAsia="仿宋_GB2312" w:cs="仿宋_GB2312"/>
          <w:b w:val="0"/>
          <w:bCs w:val="0"/>
          <w:i w:val="0"/>
          <w:iCs w:val="0"/>
          <w:color w:val="auto"/>
          <w:sz w:val="32"/>
          <w:szCs w:val="32"/>
          <w:highlight w:val="none"/>
          <w:lang w:val="en" w:eastAsia="zh-CN"/>
        </w:rPr>
        <w:t>根据项目评审意见，市工信局按程序对符合资金使用条件和范围的拟支持项目向社会公示，公示期不少于5个工作日。市财政局根据公示结果和当年预算按程序下达资金。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黑体" w:hAnsi="黑体" w:eastAsia="黑体" w:cs="黑体"/>
          <w:b w:val="0"/>
          <w:bCs w:val="0"/>
          <w:kern w:val="2"/>
          <w:sz w:val="32"/>
          <w:szCs w:val="32"/>
          <w:lang w:val="en" w:eastAsia="zh-CN" w:bidi="ar-SA"/>
        </w:rPr>
        <w:t>第十三条</w:t>
      </w:r>
      <w:r>
        <w:rPr>
          <w:rFonts w:hint="eastAsia" w:ascii="仿宋_GB2312" w:hAnsi="仿宋_GB2312" w:eastAsia="仿宋_GB2312" w:cs="仿宋_GB2312"/>
          <w:b w:val="0"/>
          <w:bCs w:val="0"/>
          <w:i w:val="0"/>
          <w:iCs w:val="0"/>
          <w:color w:val="auto"/>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项目资金拨付方式</w:t>
      </w:r>
      <w:r>
        <w:rPr>
          <w:rFonts w:hint="eastAsia" w:ascii="仿宋_GB2312" w:hAnsi="仿宋_GB2312" w:eastAsia="仿宋_GB2312" w:cs="仿宋_GB2312"/>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（一）一次性拨付：工业互联网平台建设、第一类企业数字化改造项目、试点示范、“两化融合”贯标，在整体竣工并通过最终验收后，一次性全额拨付补贴资金。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（二）分阶段拨付：为充分调动试点企业数字化改造积极性，解决部分企业改造资金困难问题，第二类、第三类数字化改造项目按以下两个阶段拨付：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启动拨付：项目通过评审后，企业凭主要设备、软硬件的采购合同及付款凭证提出预拨付申请。经市工信局委托独立的第三方专业机构进行现场核验，确认核心设备与实施方案一致且已进场安装后，拨付补贴总额的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2.验收拨付：项目整体竣工并通过最终验收后，拨付剩余的50%补贴资金。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 w:eastAsia="zh-CN" w:bidi="ar-SA"/>
        </w:rPr>
        <w:t>第十四条</w:t>
      </w:r>
      <w:r>
        <w:rPr>
          <w:rFonts w:hint="eastAsia" w:ascii="仿宋_GB2312" w:hAnsi="仿宋_GB2312" w:eastAsia="仿宋_GB2312" w:cs="仿宋_GB2312"/>
          <w:sz w:val="32"/>
          <w:szCs w:val="32"/>
        </w:rPr>
        <w:t xml:space="preserve"> 资金拨付按国库集中支付有关规定办理，涉及政府采购的，按照政府采购有关制度规定执行。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国家、自治区、</w:t>
      </w:r>
      <w:r>
        <w:rPr>
          <w:rFonts w:hint="eastAsia" w:ascii="仿宋_GB2312" w:hAnsi="仿宋_GB2312" w:eastAsia="仿宋_GB2312" w:cs="仿宋_GB2312"/>
          <w:sz w:val="32"/>
          <w:szCs w:val="32"/>
          <w:lang w:eastAsia="zh-CN"/>
        </w:rPr>
        <w:t>巴彦淖尔</w:t>
      </w:r>
      <w:r>
        <w:rPr>
          <w:rFonts w:hint="eastAsia" w:ascii="仿宋_GB2312" w:hAnsi="仿宋_GB2312" w:eastAsia="仿宋_GB2312" w:cs="仿宋_GB2312"/>
          <w:sz w:val="32"/>
          <w:szCs w:val="32"/>
        </w:rPr>
        <w:t>市出台的其他优惠政策，与本政策属于同质同类的，按照就高但不重复支持的原则支持。已获得国家、自治区及市财政奖励奖补的项目，不再重复支持。同一改造项目不得重复申请不同类别支持。同一企业每批次原则上</w:t>
      </w:r>
      <w:r>
        <w:rPr>
          <w:rFonts w:hint="eastAsia" w:ascii="仿宋_GB2312" w:hAnsi="仿宋_GB2312" w:eastAsia="仿宋_GB2312" w:cs="仿宋_GB2312"/>
          <w:sz w:val="32"/>
          <w:szCs w:val="32"/>
          <w:lang w:eastAsia="zh-CN"/>
        </w:rPr>
        <w:t>只申请一个项目</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rPr>
        <w:t>第六章</w:t>
      </w:r>
      <w:r>
        <w:rPr>
          <w:rFonts w:hint="default" w:ascii="黑体" w:hAnsi="黑体" w:eastAsia="黑体" w:cs="黑体"/>
          <w:sz w:val="32"/>
          <w:szCs w:val="32"/>
          <w:lang w:val="en"/>
        </w:rPr>
        <w:t xml:space="preserve"> </w:t>
      </w:r>
      <w:r>
        <w:rPr>
          <w:rFonts w:hint="eastAsia" w:ascii="黑体" w:hAnsi="黑体" w:eastAsia="黑体" w:cs="黑体"/>
          <w:sz w:val="32"/>
          <w:szCs w:val="32"/>
          <w:lang w:eastAsia="zh-CN"/>
        </w:rPr>
        <w:t>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第十六条</w:t>
      </w:r>
      <w:r>
        <w:rPr>
          <w:rFonts w:hint="default" w:ascii="黑体" w:hAnsi="黑体" w:eastAsia="黑体" w:cs="黑体"/>
          <w:b w:val="0"/>
          <w:bCs w:val="0"/>
          <w:kern w:val="2"/>
          <w:sz w:val="32"/>
          <w:szCs w:val="32"/>
          <w:lang w:val="en" w:eastAsia="zh-CN" w:bidi="ar-SA"/>
        </w:rPr>
        <w:t xml:space="preserve"> </w:t>
      </w:r>
      <w:r>
        <w:rPr>
          <w:rFonts w:hint="eastAsia" w:ascii="仿宋_GB2312" w:hAnsi="仿宋_GB2312" w:eastAsia="仿宋_GB2312" w:cs="仿宋_GB2312"/>
          <w:sz w:val="32"/>
          <w:szCs w:val="32"/>
        </w:rPr>
        <w:t>市、区两级工信部门负责日常监督管理，市工信局会同市财政局负责统筹、拨付资金。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kern w:val="2"/>
          <w:sz w:val="32"/>
          <w:szCs w:val="32"/>
          <w:lang w:val="en" w:eastAsia="zh-CN" w:bidi="ar-SA"/>
        </w:rPr>
      </w:pPr>
      <w:r>
        <w:rPr>
          <w:rFonts w:hint="eastAsia" w:ascii="黑体" w:hAnsi="黑体" w:eastAsia="黑体" w:cs="黑体"/>
          <w:b w:val="0"/>
          <w:bCs w:val="0"/>
          <w:kern w:val="2"/>
          <w:sz w:val="32"/>
          <w:szCs w:val="32"/>
          <w:lang w:val="en-US" w:eastAsia="zh-CN" w:bidi="ar-SA"/>
        </w:rPr>
        <w:t>第十七条</w:t>
      </w:r>
      <w:r>
        <w:rPr>
          <w:rFonts w:hint="default" w:ascii="黑体" w:hAnsi="黑体" w:eastAsia="黑体" w:cs="黑体"/>
          <w:b w:val="0"/>
          <w:bCs w:val="0"/>
          <w:kern w:val="2"/>
          <w:sz w:val="32"/>
          <w:szCs w:val="32"/>
          <w:lang w:val="en" w:eastAsia="zh-CN" w:bidi="ar-SA"/>
        </w:rPr>
        <w:t xml:space="preserve"> </w:t>
      </w:r>
      <w:r>
        <w:rPr>
          <w:rFonts w:hint="eastAsia" w:ascii="仿宋_GB2312" w:hAnsi="仿宋_GB2312" w:eastAsia="仿宋_GB2312" w:cs="仿宋_GB2312"/>
          <w:sz w:val="32"/>
          <w:szCs w:val="32"/>
          <w:lang w:val="en" w:eastAsia="zh-CN"/>
        </w:rPr>
        <w:t>企业</w:t>
      </w:r>
      <w:r>
        <w:rPr>
          <w:rFonts w:hint="default" w:ascii="仿宋_GB2312" w:hAnsi="仿宋_GB2312" w:eastAsia="仿宋_GB2312" w:cs="仿宋_GB2312"/>
          <w:sz w:val="32"/>
          <w:szCs w:val="32"/>
          <w:lang w:val="en" w:eastAsia="zh-CN"/>
        </w:rPr>
        <w:t>获得的财政项目补助资金，后期使用要与项目实施方案支持方向一致，继续用于数字化、智能化的改造升级，不得用于发放工资、购置办公设备等其他用途。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thick"/>
        </w:rPr>
      </w:pPr>
      <w:r>
        <w:rPr>
          <w:rFonts w:hint="eastAsia" w:ascii="黑体" w:hAnsi="黑体" w:eastAsia="黑体" w:cs="黑体"/>
          <w:b w:val="0"/>
          <w:bCs w:val="0"/>
          <w:kern w:val="2"/>
          <w:sz w:val="32"/>
          <w:szCs w:val="32"/>
          <w:lang w:val="en-US" w:eastAsia="zh-CN" w:bidi="ar-SA"/>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获得补助资金的企业</w:t>
      </w:r>
      <w:r>
        <w:rPr>
          <w:rFonts w:hint="eastAsia" w:ascii="仿宋_GB2312" w:hAnsi="仿宋_GB2312" w:eastAsia="仿宋_GB2312" w:cs="仿宋_GB2312"/>
          <w:sz w:val="32"/>
          <w:szCs w:val="32"/>
        </w:rPr>
        <w:t>要按照国家统一的会计制度、财务制度和税法等相关财务规定进行账务处理，加强核算管理，妥善保存有关原始票据及凭证备查。</w:t>
      </w:r>
      <w:r>
        <w:rPr>
          <w:rFonts w:hint="eastAsia" w:ascii="仿宋_GB2312" w:hAnsi="仿宋_GB2312" w:eastAsia="仿宋_GB2312" w:cs="仿宋_GB2312"/>
          <w:sz w:val="32"/>
          <w:szCs w:val="32"/>
          <w:u w:val="none"/>
        </w:rPr>
        <w:t>自觉接受工信、财政、审计、监察部门的监督检查，保证申报材料的完整性、真实性、准确性和合法性，承担所提交项目申报材料的相关法律责任。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kern w:val="2"/>
          <w:sz w:val="32"/>
          <w:szCs w:val="32"/>
          <w:highlight w:val="none"/>
          <w:lang w:val="en-US" w:eastAsia="zh-CN" w:bidi="ar-SA"/>
        </w:rPr>
        <w:t>第十九条</w:t>
      </w:r>
      <w:r>
        <w:rPr>
          <w:rFonts w:hint="default" w:ascii="黑体" w:hAnsi="黑体" w:eastAsia="黑体" w:cs="黑体"/>
          <w:b w:val="0"/>
          <w:bCs w:val="0"/>
          <w:kern w:val="2"/>
          <w:sz w:val="32"/>
          <w:szCs w:val="32"/>
          <w:highlight w:val="none"/>
          <w:lang w:val="en" w:eastAsia="zh-CN" w:bidi="ar-SA"/>
        </w:rPr>
        <w:t xml:space="preserve"> </w:t>
      </w:r>
      <w:r>
        <w:rPr>
          <w:rFonts w:hint="eastAsia" w:ascii="仿宋_GB2312" w:hAnsi="仿宋_GB2312" w:eastAsia="仿宋_GB2312" w:cs="仿宋_GB2312"/>
          <w:sz w:val="32"/>
          <w:szCs w:val="32"/>
          <w:lang w:val="en" w:eastAsia="zh-CN"/>
        </w:rPr>
        <w:t>项目实施单位对申报材料的合法性、真实性负责。</w:t>
      </w:r>
      <w:r>
        <w:rPr>
          <w:rFonts w:hint="eastAsia" w:ascii="仿宋_GB2312" w:hAnsi="仿宋_GB2312" w:eastAsia="仿宋_GB2312" w:cs="仿宋_GB2312"/>
          <w:sz w:val="32"/>
          <w:szCs w:val="32"/>
        </w:rPr>
        <w:t>对弄虚作假</w:t>
      </w:r>
      <w:r>
        <w:rPr>
          <w:rFonts w:hint="eastAsia" w:ascii="仿宋_GB2312" w:hAnsi="仿宋_GB2312" w:eastAsia="仿宋_GB2312" w:cs="仿宋_GB2312"/>
          <w:sz w:val="32"/>
          <w:szCs w:val="32"/>
          <w:lang w:eastAsia="zh-CN"/>
        </w:rPr>
        <w:t>、骗取财政资金的行为，一经查实，追回违反规定使用、骗取的资金，同时按照《财政违法行为处罚处分条例》（国务院令第</w:t>
      </w:r>
      <w:r>
        <w:rPr>
          <w:rFonts w:hint="eastAsia" w:ascii="仿宋_GB2312" w:hAnsi="仿宋_GB2312" w:eastAsia="仿宋_GB2312" w:cs="仿宋_GB2312"/>
          <w:sz w:val="32"/>
          <w:szCs w:val="32"/>
          <w:lang w:val="en-US" w:eastAsia="zh-CN"/>
        </w:rPr>
        <w:t>427号</w:t>
      </w:r>
      <w:r>
        <w:rPr>
          <w:rFonts w:hint="eastAsia" w:ascii="仿宋_GB2312" w:hAnsi="仿宋_GB2312" w:eastAsia="仿宋_GB2312" w:cs="仿宋_GB2312"/>
          <w:sz w:val="32"/>
          <w:szCs w:val="32"/>
          <w:lang w:eastAsia="zh-CN"/>
        </w:rPr>
        <w:t>）等有关法律</w:t>
      </w:r>
      <w:r>
        <w:rPr>
          <w:rFonts w:hint="eastAsia" w:ascii="仿宋_GB2312" w:hAnsi="仿宋_GB2312" w:eastAsia="仿宋_GB2312" w:cs="仿宋_GB2312"/>
          <w:sz w:val="32"/>
          <w:szCs w:val="32"/>
        </w:rPr>
        <w:t>追究相应责任</w:t>
      </w:r>
      <w:r>
        <w:rPr>
          <w:rFonts w:hint="eastAsia" w:ascii="仿宋_GB2312" w:hAnsi="仿宋_GB2312" w:eastAsia="仿宋_GB2312" w:cs="仿宋_GB2312"/>
          <w:sz w:val="32"/>
          <w:szCs w:val="32"/>
          <w:lang w:eastAsia="zh-CN"/>
        </w:rPr>
        <w:t>，取消后续申报资格。</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第七章</w:t>
      </w:r>
      <w:r>
        <w:rPr>
          <w:rFonts w:hint="default" w:ascii="黑体" w:hAnsi="黑体" w:eastAsia="黑体" w:cs="黑体"/>
          <w:sz w:val="32"/>
          <w:szCs w:val="32"/>
          <w:lang w:val="e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第二十条</w:t>
      </w:r>
      <w:r>
        <w:rPr>
          <w:rFonts w:hint="default" w:ascii="黑体" w:hAnsi="黑体" w:eastAsia="黑体" w:cs="黑体"/>
          <w:b w:val="0"/>
          <w:bCs w:val="0"/>
          <w:kern w:val="2"/>
          <w:sz w:val="32"/>
          <w:szCs w:val="32"/>
          <w:lang w:val="en" w:eastAsia="zh-CN" w:bidi="ar-SA"/>
        </w:rPr>
        <w:t xml:space="preserve"> </w:t>
      </w:r>
      <w:r>
        <w:rPr>
          <w:rFonts w:hint="eastAsia" w:ascii="仿宋_GB2312" w:hAnsi="仿宋_GB2312" w:eastAsia="仿宋_GB2312" w:cs="仿宋_GB2312"/>
          <w:sz w:val="32"/>
          <w:szCs w:val="32"/>
        </w:rPr>
        <w:t>本办法自发布之日起实施，</w:t>
      </w:r>
      <w:r>
        <w:rPr>
          <w:rFonts w:hint="eastAsia" w:ascii="仿宋_GB2312" w:hAnsi="仿宋_GB2312" w:eastAsia="仿宋_GB2312" w:cs="仿宋_GB2312"/>
          <w:sz w:val="32"/>
          <w:szCs w:val="32"/>
          <w:lang w:val="en-US" w:eastAsia="zh-CN"/>
        </w:rPr>
        <w:t>有效期至试点项目实施完毕</w:t>
      </w:r>
      <w:r>
        <w:rPr>
          <w:rFonts w:hint="eastAsia" w:ascii="仿宋_GB2312" w:hAnsi="仿宋_GB2312" w:eastAsia="仿宋_GB2312" w:cs="仿宋_GB2312"/>
          <w:sz w:val="32"/>
          <w:szCs w:val="32"/>
        </w:rPr>
        <w:t>。由市工信局、财政局负责解释。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本办法实施过程中，国家、自治区、</w:t>
      </w:r>
      <w:r>
        <w:rPr>
          <w:rFonts w:hint="eastAsia" w:ascii="仿宋_GB2312" w:hAnsi="仿宋_GB2312" w:eastAsia="仿宋_GB2312" w:cs="仿宋_GB2312"/>
          <w:sz w:val="32"/>
          <w:szCs w:val="32"/>
          <w:lang w:eastAsia="zh-CN"/>
        </w:rPr>
        <w:t>巴彦淖尔</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如有相关政策调整</w:t>
      </w:r>
      <w:r>
        <w:rPr>
          <w:rFonts w:hint="eastAsia" w:ascii="仿宋_GB2312" w:hAnsi="仿宋_GB2312" w:eastAsia="仿宋_GB2312" w:cs="仿宋_GB2312"/>
          <w:sz w:val="32"/>
          <w:szCs w:val="32"/>
        </w:rPr>
        <w:t>，按新政策要求执行。</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2582545</wp:posOffset>
              </wp:positionH>
              <wp:positionV relativeFrom="paragraph">
                <wp:posOffset>-222250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03.35pt;margin-top:-17.5pt;height:144pt;width:144pt;mso-position-horizontal-relative:margin;mso-wrap-style:none;z-index:251658240;mso-width-relative:page;mso-height-relative:page;" filled="f" stroked="f" coordsize="21600,21600" o:gfxdata="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bwtv3dkAAAALAQAADwAAAAAAAAABACAAAAA4AAAAZHJzL2Rvd25yZXYueG1s&#10;UEsBAhQAFAAAAAgAh07iQCYa0m4aAgAAKQQAAA4AAAAAAAAAAQAgAAAAPgEAAGRycy9lMm9Eb2Mu&#10;eG1sUEsFBgAAAAAGAAYAWQEAAMo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E762C"/>
    <w:multiLevelType w:val="singleLevel"/>
    <w:tmpl w:val="DF7E76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41AF9"/>
    <w:rsid w:val="00027C5D"/>
    <w:rsid w:val="000445E4"/>
    <w:rsid w:val="000A0168"/>
    <w:rsid w:val="00120A46"/>
    <w:rsid w:val="001F5CD0"/>
    <w:rsid w:val="003946CC"/>
    <w:rsid w:val="00444056"/>
    <w:rsid w:val="00470FAD"/>
    <w:rsid w:val="004C4C80"/>
    <w:rsid w:val="00520505"/>
    <w:rsid w:val="005813C9"/>
    <w:rsid w:val="005A37AC"/>
    <w:rsid w:val="00635D6A"/>
    <w:rsid w:val="0065594B"/>
    <w:rsid w:val="007009A6"/>
    <w:rsid w:val="00767909"/>
    <w:rsid w:val="00781AE6"/>
    <w:rsid w:val="0079655C"/>
    <w:rsid w:val="007B76E0"/>
    <w:rsid w:val="008D5EFE"/>
    <w:rsid w:val="00961C82"/>
    <w:rsid w:val="00A17AA0"/>
    <w:rsid w:val="00B35D9F"/>
    <w:rsid w:val="00C17B1E"/>
    <w:rsid w:val="00C3192C"/>
    <w:rsid w:val="00D038D0"/>
    <w:rsid w:val="00E84C34"/>
    <w:rsid w:val="00EA57D7"/>
    <w:rsid w:val="00EB155D"/>
    <w:rsid w:val="00EC64EA"/>
    <w:rsid w:val="00F31438"/>
    <w:rsid w:val="00F76173"/>
    <w:rsid w:val="00FA2650"/>
    <w:rsid w:val="00FC09EE"/>
    <w:rsid w:val="00FF02CC"/>
    <w:rsid w:val="02C800E9"/>
    <w:rsid w:val="078678A3"/>
    <w:rsid w:val="09EB20CE"/>
    <w:rsid w:val="0D183D8B"/>
    <w:rsid w:val="113D64B6"/>
    <w:rsid w:val="11584A25"/>
    <w:rsid w:val="12011292"/>
    <w:rsid w:val="12AC38F3"/>
    <w:rsid w:val="156C55BC"/>
    <w:rsid w:val="1BA84E74"/>
    <w:rsid w:val="1DF4643D"/>
    <w:rsid w:val="1E525B7D"/>
    <w:rsid w:val="1F3E424E"/>
    <w:rsid w:val="20270A5D"/>
    <w:rsid w:val="232B3CCD"/>
    <w:rsid w:val="252E64ED"/>
    <w:rsid w:val="2B0B3846"/>
    <w:rsid w:val="2D302622"/>
    <w:rsid w:val="343A12C2"/>
    <w:rsid w:val="343C2069"/>
    <w:rsid w:val="35DB7EC8"/>
    <w:rsid w:val="38773D6A"/>
    <w:rsid w:val="397DD403"/>
    <w:rsid w:val="3B7FBA3B"/>
    <w:rsid w:val="3EF11343"/>
    <w:rsid w:val="40990548"/>
    <w:rsid w:val="413E57AF"/>
    <w:rsid w:val="41436921"/>
    <w:rsid w:val="424C4C09"/>
    <w:rsid w:val="44CE01CC"/>
    <w:rsid w:val="45FC0744"/>
    <w:rsid w:val="46D32666"/>
    <w:rsid w:val="4A1B668D"/>
    <w:rsid w:val="528C3BC3"/>
    <w:rsid w:val="529E1ADE"/>
    <w:rsid w:val="53AB1EBF"/>
    <w:rsid w:val="563F1955"/>
    <w:rsid w:val="5E441AF9"/>
    <w:rsid w:val="602608DF"/>
    <w:rsid w:val="61E416D8"/>
    <w:rsid w:val="65E73470"/>
    <w:rsid w:val="67521CAD"/>
    <w:rsid w:val="6A2C7510"/>
    <w:rsid w:val="6F5EA764"/>
    <w:rsid w:val="6FFE937E"/>
    <w:rsid w:val="701E2184"/>
    <w:rsid w:val="70C826A1"/>
    <w:rsid w:val="75312161"/>
    <w:rsid w:val="7AD874E9"/>
    <w:rsid w:val="7CAD4F10"/>
    <w:rsid w:val="7F0C2D8A"/>
    <w:rsid w:val="7F9DBAD2"/>
    <w:rsid w:val="9FB366D8"/>
    <w:rsid w:val="BFD7C381"/>
    <w:rsid w:val="D77F4B45"/>
    <w:rsid w:val="DEFF6C2D"/>
    <w:rsid w:val="DFFF33EC"/>
    <w:rsid w:val="E75FB2C5"/>
    <w:rsid w:val="EFED6FF0"/>
    <w:rsid w:val="EFF7AFA4"/>
    <w:rsid w:val="F577ADD6"/>
    <w:rsid w:val="F77229B5"/>
    <w:rsid w:val="FA333F1B"/>
    <w:rsid w:val="FB9A641D"/>
    <w:rsid w:val="FD390648"/>
    <w:rsid w:val="FD7F2848"/>
    <w:rsid w:val="FFF9C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link w:val="10"/>
    <w:qFormat/>
    <w:uiPriority w:val="0"/>
    <w:rPr>
      <w:rFonts w:ascii="Courier New" w:hAnsi="Courier New" w:cs="Courier New"/>
      <w:sz w:val="20"/>
      <w:szCs w:val="20"/>
    </w:rPr>
  </w:style>
  <w:style w:type="paragraph" w:styleId="5">
    <w:name w:val="Body Text First Indent 2"/>
    <w:qFormat/>
    <w:uiPriority w:val="0"/>
    <w:pPr>
      <w:widowControl w:val="0"/>
      <w:suppressAutoHyphens/>
      <w:bidi w:val="0"/>
      <w:spacing w:after="0"/>
      <w:ind w:left="420" w:leftChars="200" w:firstLine="210" w:firstLineChars="200"/>
      <w:jc w:val="both"/>
    </w:pPr>
    <w:rPr>
      <w:rFonts w:ascii="Calibri" w:hAnsi="Calibri" w:eastAsia="宋体" w:cs="Times New Roman"/>
      <w:color w:val="auto"/>
      <w:kern w:val="2"/>
      <w:sz w:val="28"/>
      <w:szCs w:val="24"/>
      <w:lang w:val="en-US" w:eastAsia="zh-CN" w:bidi="ar-SA"/>
    </w:rPr>
  </w:style>
  <w:style w:type="character" w:styleId="8">
    <w:name w:val="Strong"/>
    <w:basedOn w:val="7"/>
    <w:qFormat/>
    <w:uiPriority w:val="0"/>
    <w:rPr>
      <w:b/>
    </w:rPr>
  </w:style>
  <w:style w:type="character" w:styleId="9">
    <w:name w:val="HTML Code"/>
    <w:basedOn w:val="7"/>
    <w:qFormat/>
    <w:uiPriority w:val="0"/>
    <w:rPr>
      <w:rFonts w:ascii="Courier New" w:hAnsi="Courier New"/>
      <w:sz w:val="20"/>
    </w:rPr>
  </w:style>
  <w:style w:type="character" w:customStyle="1" w:styleId="10">
    <w:name w:val="HTML 预设格式 字符"/>
    <w:basedOn w:val="7"/>
    <w:link w:val="4"/>
    <w:qFormat/>
    <w:uiPriority w:val="0"/>
    <w:rPr>
      <w:rFonts w:ascii="Courier New" w:hAnsi="Courier New" w:cs="Courier New" w:eastAsiaTheme="minorEastAsia"/>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2054</Words>
  <Characters>2077</Characters>
  <Lines>15</Lines>
  <Paragraphs>4</Paragraphs>
  <TotalTime>3</TotalTime>
  <ScaleCrop>false</ScaleCrop>
  <LinksUpToDate>false</LinksUpToDate>
  <CharactersWithSpaces>2115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2025-07-18T20:54:00Z</dcterms:created>
  <dc:creator>pc</dc:creator>
  <cp:lastModifiedBy>user</cp:lastModifiedBy>
  <cp:lastPrinted>2026-01-21T18:37:00Z</cp:lastPrinted>
  <dcterms:modified xsi:type="dcterms:W3CDTF">2026-01-27T16:28:04Z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9B63714D5AAD449F947692C87C257F9C_11</vt:lpwstr>
  </property>
  <property fmtid="{D5CDD505-2E9C-101B-9397-08002B2CF9AE}" pid="4" name="KSOTemplateDocerSaveRecord">
    <vt:lpwstr>eyJoZGlkIjoiOTY1ZTRlN2Y4MGQwZGRlMTkwYmQ2NTc3ZGI0OTZmYjciLCJ1c2VySWQiOiIxMjE1NTU0Mzk1In0=</vt:lpwstr>
  </property>
</Properties>
</file>